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9D" w:rsidRDefault="002B2A9D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Dr.Vera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Slupik,</w:t>
      </w:r>
      <w:r w:rsidR="000C2E46">
        <w:rPr>
          <w:rFonts w:ascii="Century Gothic" w:hAnsi="Century Gothic"/>
          <w:sz w:val="28"/>
          <w:szCs w:val="28"/>
        </w:rPr>
        <w:t>Assessorin</w:t>
      </w:r>
      <w:proofErr w:type="spellEnd"/>
      <w:r w:rsidR="000C2E46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Berlin</w:t>
      </w:r>
    </w:p>
    <w:p w:rsidR="002B2A9D" w:rsidRDefault="002B2A9D">
      <w:pPr>
        <w:rPr>
          <w:rFonts w:ascii="Century Gothic" w:hAnsi="Century Gothic"/>
          <w:sz w:val="28"/>
          <w:szCs w:val="28"/>
        </w:rPr>
      </w:pPr>
    </w:p>
    <w:p w:rsidR="0057527C" w:rsidRDefault="003D6E9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Der Bund als Kindergeldgesetzgeber(Art.74 I Nr.</w:t>
      </w:r>
      <w:r w:rsidR="00204729"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 xml:space="preserve"> GG)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</w:p>
    <w:p w:rsidR="00110758" w:rsidRDefault="00110758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Daß</w:t>
      </w:r>
      <w:proofErr w:type="spellEnd"/>
      <w:r>
        <w:rPr>
          <w:rFonts w:ascii="Century Gothic" w:hAnsi="Century Gothic"/>
          <w:sz w:val="28"/>
          <w:szCs w:val="28"/>
        </w:rPr>
        <w:t xml:space="preserve"> über die Gesetzgebungskompetenz des Bundes für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das Kindergeldrecht so wenig in der juristischen Fachliteratur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zu lesen ist, kann leicht begründet werden. In seinem Aufsatz</w:t>
      </w:r>
    </w:p>
    <w:p w:rsidR="00110758" w:rsidRDefault="0077625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zu diesem Thema</w:t>
      </w:r>
      <w:r w:rsidR="00110758">
        <w:rPr>
          <w:rFonts w:ascii="Century Gothic" w:hAnsi="Century Gothic"/>
          <w:sz w:val="28"/>
          <w:szCs w:val="28"/>
        </w:rPr>
        <w:t xml:space="preserve"> verwundert sich Reimer (NJW 27/2012(1927</w:t>
      </w:r>
      <w:r w:rsidR="001C7FBB">
        <w:rPr>
          <w:rFonts w:ascii="Century Gothic" w:hAnsi="Century Gothic"/>
          <w:sz w:val="28"/>
          <w:szCs w:val="28"/>
        </w:rPr>
        <w:t>)</w:t>
      </w:r>
      <w:r w:rsidR="00110758">
        <w:rPr>
          <w:rFonts w:ascii="Century Gothic" w:hAnsi="Century Gothic"/>
          <w:sz w:val="28"/>
          <w:szCs w:val="28"/>
        </w:rPr>
        <w:t>)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darüber.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Grund für die</w:t>
      </w:r>
      <w:r w:rsidR="004658DC">
        <w:rPr>
          <w:rFonts w:ascii="Century Gothic" w:hAnsi="Century Gothic"/>
          <w:sz w:val="28"/>
          <w:szCs w:val="28"/>
        </w:rPr>
        <w:t xml:space="preserve">se Enthaltsamkeit ist, </w:t>
      </w:r>
      <w:proofErr w:type="spellStart"/>
      <w:r w:rsidR="004658DC">
        <w:rPr>
          <w:rFonts w:ascii="Century Gothic" w:hAnsi="Century Gothic"/>
          <w:sz w:val="28"/>
          <w:szCs w:val="28"/>
        </w:rPr>
        <w:t>daß</w:t>
      </w:r>
      <w:proofErr w:type="spellEnd"/>
      <w:r w:rsidR="004658DC">
        <w:rPr>
          <w:rFonts w:ascii="Century Gothic" w:hAnsi="Century Gothic"/>
          <w:sz w:val="28"/>
          <w:szCs w:val="28"/>
        </w:rPr>
        <w:t xml:space="preserve"> die</w:t>
      </w:r>
      <w:r>
        <w:rPr>
          <w:rFonts w:ascii="Century Gothic" w:hAnsi="Century Gothic"/>
          <w:sz w:val="28"/>
          <w:szCs w:val="28"/>
        </w:rPr>
        <w:t xml:space="preserve"> Befugnis im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Fü</w:t>
      </w:r>
      <w:r w:rsidR="00776253">
        <w:rPr>
          <w:rFonts w:ascii="Century Gothic" w:hAnsi="Century Gothic"/>
          <w:sz w:val="28"/>
          <w:szCs w:val="28"/>
        </w:rPr>
        <w:t>rsorgebegriff des Art.74 I Nr.7</w:t>
      </w:r>
      <w:r>
        <w:rPr>
          <w:rFonts w:ascii="Century Gothic" w:hAnsi="Century Gothic"/>
          <w:sz w:val="28"/>
          <w:szCs w:val="28"/>
        </w:rPr>
        <w:t xml:space="preserve"> GG enthalten ist. Anders als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Reimer meint, ist dieser Begriff im allgemeinen Sinne zu verstehen,</w:t>
      </w:r>
    </w:p>
    <w:p w:rsidR="00110758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wie es </w:t>
      </w:r>
      <w:r w:rsidR="00110758">
        <w:rPr>
          <w:rFonts w:ascii="Century Gothic" w:hAnsi="Century Gothic"/>
          <w:sz w:val="28"/>
          <w:szCs w:val="28"/>
        </w:rPr>
        <w:t>die gesamte Wortwahl und Konkretionsdichte der</w:t>
      </w:r>
    </w:p>
    <w:p w:rsidR="00110758" w:rsidRDefault="001107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Kompetenzvorschriften des Grundgesetzes nahelegen.</w:t>
      </w:r>
    </w:p>
    <w:p w:rsidR="00110758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Fürsorge ist hier im Sinne einer sozialen Sicherung zu verstehen,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es auch Art.11</w:t>
      </w:r>
      <w:r w:rsidR="00B75BF1">
        <w:rPr>
          <w:rFonts w:ascii="Century Gothic" w:hAnsi="Century Gothic"/>
          <w:sz w:val="28"/>
          <w:szCs w:val="28"/>
        </w:rPr>
        <w:t xml:space="preserve">-84 Charta </w:t>
      </w:r>
      <w:proofErr w:type="spellStart"/>
      <w:r w:rsidR="00B75BF1">
        <w:rPr>
          <w:rFonts w:ascii="Century Gothic" w:hAnsi="Century Gothic"/>
          <w:sz w:val="28"/>
          <w:szCs w:val="28"/>
        </w:rPr>
        <w:t>d.GRe</w:t>
      </w:r>
      <w:proofErr w:type="spellEnd"/>
      <w:r w:rsidR="00B75BF1">
        <w:rPr>
          <w:rFonts w:ascii="Century Gothic" w:hAnsi="Century Gothic"/>
          <w:sz w:val="28"/>
          <w:szCs w:val="28"/>
        </w:rPr>
        <w:t xml:space="preserve"> d. EU anraten</w:t>
      </w:r>
      <w:r>
        <w:rPr>
          <w:rFonts w:ascii="Century Gothic" w:hAnsi="Century Gothic"/>
          <w:sz w:val="28"/>
          <w:szCs w:val="28"/>
        </w:rPr>
        <w:t>, wonach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„Kinder Anspruch auf den Schutz und die Fürsorge“ haben, „ die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für ihr Wohlergeben notwendig sind“.</w:t>
      </w:r>
      <w:r w:rsidR="00C159FC">
        <w:rPr>
          <w:rFonts w:ascii="Century Gothic" w:hAnsi="Century Gothic"/>
          <w:sz w:val="28"/>
          <w:szCs w:val="28"/>
        </w:rPr>
        <w:t xml:space="preserve"> Diese sind nämlich indirekt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betroffen, weil die Eltern Anspruchsberechtigte sind.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Soziale Sicherung ist nicht mit Sozialversicherung zu verwechseln.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Richtig ist, </w:t>
      </w:r>
      <w:proofErr w:type="spellStart"/>
      <w:r>
        <w:rPr>
          <w:rFonts w:ascii="Century Gothic" w:hAnsi="Century Gothic"/>
          <w:sz w:val="28"/>
          <w:szCs w:val="28"/>
        </w:rPr>
        <w:t>daß</w:t>
      </w:r>
      <w:proofErr w:type="spellEnd"/>
      <w:r>
        <w:rPr>
          <w:rFonts w:ascii="Century Gothic" w:hAnsi="Century Gothic"/>
          <w:sz w:val="28"/>
          <w:szCs w:val="28"/>
        </w:rPr>
        <w:t xml:space="preserve"> die Ursprünge des Kindergeldes in der </w:t>
      </w:r>
      <w:proofErr w:type="spellStart"/>
      <w:r>
        <w:rPr>
          <w:rFonts w:ascii="Century Gothic" w:hAnsi="Century Gothic"/>
          <w:sz w:val="28"/>
          <w:szCs w:val="28"/>
        </w:rPr>
        <w:t>Bundesre</w:t>
      </w:r>
      <w:proofErr w:type="spellEnd"/>
      <w:r>
        <w:rPr>
          <w:rFonts w:ascii="Century Gothic" w:hAnsi="Century Gothic"/>
          <w:sz w:val="28"/>
          <w:szCs w:val="28"/>
        </w:rPr>
        <w:t>-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publik und nach wie vor das Verwaltungsverfahren der </w:t>
      </w:r>
      <w:proofErr w:type="spellStart"/>
      <w:r>
        <w:rPr>
          <w:rFonts w:ascii="Century Gothic" w:hAnsi="Century Gothic"/>
          <w:sz w:val="28"/>
          <w:szCs w:val="28"/>
        </w:rPr>
        <w:t>Beantra</w:t>
      </w:r>
      <w:proofErr w:type="spellEnd"/>
      <w:r>
        <w:rPr>
          <w:rFonts w:ascii="Century Gothic" w:hAnsi="Century Gothic"/>
          <w:sz w:val="28"/>
          <w:szCs w:val="28"/>
        </w:rPr>
        <w:t>-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gung</w:t>
      </w:r>
      <w:proofErr w:type="spellEnd"/>
      <w:r>
        <w:rPr>
          <w:rFonts w:ascii="Century Gothic" w:hAnsi="Century Gothic"/>
          <w:sz w:val="28"/>
          <w:szCs w:val="28"/>
        </w:rPr>
        <w:t xml:space="preserve"> und Abwick</w:t>
      </w:r>
      <w:r w:rsidR="00151177">
        <w:rPr>
          <w:rFonts w:ascii="Century Gothic" w:hAnsi="Century Gothic"/>
          <w:sz w:val="28"/>
          <w:szCs w:val="28"/>
        </w:rPr>
        <w:t>lung  diese Einordnung ermöglichen</w:t>
      </w:r>
      <w:r>
        <w:rPr>
          <w:rFonts w:ascii="Century Gothic" w:hAnsi="Century Gothic"/>
          <w:sz w:val="28"/>
          <w:szCs w:val="28"/>
        </w:rPr>
        <w:t>.</w:t>
      </w:r>
      <w:r w:rsidR="000C2E4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Es handelt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sich aber nicht um eine beitragsbezogene Leistung, sondern</w:t>
      </w:r>
      <w:r w:rsidR="00151177">
        <w:rPr>
          <w:rFonts w:ascii="Century Gothic" w:hAnsi="Century Gothic"/>
          <w:sz w:val="28"/>
          <w:szCs w:val="28"/>
        </w:rPr>
        <w:t xml:space="preserve"> um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eine aus Haushaltsmitteln finanzierte Transferleistung.</w:t>
      </w:r>
      <w:r w:rsidR="000C2E4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Daher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ist hieraus auch keine Bundeskompetenz abzuleiten</w:t>
      </w:r>
      <w:proofErr w:type="gramStart"/>
      <w:r>
        <w:rPr>
          <w:rFonts w:ascii="Century Gothic" w:hAnsi="Century Gothic"/>
          <w:sz w:val="28"/>
          <w:szCs w:val="28"/>
        </w:rPr>
        <w:t>.</w:t>
      </w:r>
      <w:r w:rsidR="00C159FC">
        <w:rPr>
          <w:rFonts w:ascii="Century Gothic" w:hAnsi="Century Gothic"/>
          <w:sz w:val="28"/>
          <w:szCs w:val="28"/>
        </w:rPr>
        <w:t>(</w:t>
      </w:r>
      <w:proofErr w:type="gramEnd"/>
      <w:r w:rsidR="00C159FC">
        <w:rPr>
          <w:rFonts w:ascii="Century Gothic" w:hAnsi="Century Gothic"/>
          <w:sz w:val="28"/>
          <w:szCs w:val="28"/>
        </w:rPr>
        <w:t>Vgl. zur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Genese: </w:t>
      </w:r>
      <w:proofErr w:type="spellStart"/>
      <w:r>
        <w:rPr>
          <w:rFonts w:ascii="Century Gothic" w:hAnsi="Century Gothic"/>
          <w:sz w:val="28"/>
          <w:szCs w:val="28"/>
        </w:rPr>
        <w:t>V.Slupik</w:t>
      </w:r>
      <w:proofErr w:type="spellEnd"/>
      <w:r>
        <w:rPr>
          <w:rFonts w:ascii="Century Gothic" w:hAnsi="Century Gothic"/>
          <w:sz w:val="28"/>
          <w:szCs w:val="28"/>
        </w:rPr>
        <w:t>, Die Bedeutung des Kindergeldrechts als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Instrument von Bevölkerun</w:t>
      </w:r>
      <w:r w:rsidR="00980D62">
        <w:rPr>
          <w:rFonts w:ascii="Century Gothic" w:hAnsi="Century Gothic"/>
          <w:sz w:val="28"/>
          <w:szCs w:val="28"/>
        </w:rPr>
        <w:t>gspolitik, 1984, insbes.S.57-60</w:t>
      </w:r>
      <w:r>
        <w:rPr>
          <w:rFonts w:ascii="Century Gothic" w:hAnsi="Century Gothic"/>
          <w:sz w:val="28"/>
          <w:szCs w:val="28"/>
        </w:rPr>
        <w:t>).</w:t>
      </w:r>
    </w:p>
    <w:p w:rsidR="00023042" w:rsidRDefault="00597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023042">
        <w:rPr>
          <w:rFonts w:ascii="Century Gothic" w:hAnsi="Century Gothic"/>
          <w:sz w:val="28"/>
          <w:szCs w:val="28"/>
        </w:rPr>
        <w:t xml:space="preserve">Auch die seit 1995 – immer wieder kritisierte–normierte </w:t>
      </w:r>
      <w:proofErr w:type="spellStart"/>
      <w:r w:rsidR="00023042">
        <w:rPr>
          <w:rFonts w:ascii="Century Gothic" w:hAnsi="Century Gothic"/>
          <w:sz w:val="28"/>
          <w:szCs w:val="28"/>
        </w:rPr>
        <w:t>Ver</w:t>
      </w:r>
      <w:proofErr w:type="spellEnd"/>
      <w:r w:rsidR="00023042">
        <w:rPr>
          <w:rFonts w:ascii="Century Gothic" w:hAnsi="Century Gothic"/>
          <w:sz w:val="28"/>
          <w:szCs w:val="28"/>
        </w:rPr>
        <w:t>-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quickung</w:t>
      </w:r>
      <w:proofErr w:type="spellEnd"/>
      <w:r>
        <w:rPr>
          <w:rFonts w:ascii="Century Gothic" w:hAnsi="Century Gothic"/>
          <w:sz w:val="28"/>
          <w:szCs w:val="28"/>
        </w:rPr>
        <w:t xml:space="preserve"> mit steuerrechtlichen Regelungen führt nicht weiter.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Sie ist, anders als Reimer meint, dem Bund als bloße Annex-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kompetenz</w:t>
      </w:r>
      <w:proofErr w:type="spellEnd"/>
      <w:r>
        <w:rPr>
          <w:rFonts w:ascii="Century Gothic" w:hAnsi="Century Gothic"/>
          <w:sz w:val="28"/>
          <w:szCs w:val="28"/>
        </w:rPr>
        <w:t xml:space="preserve"> zu Art. 74 </w:t>
      </w:r>
      <w:r w:rsidR="00776253">
        <w:rPr>
          <w:rFonts w:ascii="Century Gothic" w:hAnsi="Century Gothic"/>
          <w:sz w:val="28"/>
          <w:szCs w:val="28"/>
        </w:rPr>
        <w:t>I Nr. 7</w:t>
      </w:r>
      <w:r w:rsidR="00C159FC">
        <w:rPr>
          <w:rFonts w:ascii="Century Gothic" w:hAnsi="Century Gothic"/>
          <w:sz w:val="28"/>
          <w:szCs w:val="28"/>
        </w:rPr>
        <w:t xml:space="preserve"> GG nach dem Überwiegen</w:t>
      </w:r>
      <w:r>
        <w:rPr>
          <w:rFonts w:ascii="Century Gothic" w:hAnsi="Century Gothic"/>
          <w:sz w:val="28"/>
          <w:szCs w:val="28"/>
        </w:rPr>
        <w:t>s-</w:t>
      </w:r>
    </w:p>
    <w:p w:rsidR="00023042" w:rsidRDefault="0002304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prinzip</w:t>
      </w:r>
      <w:proofErr w:type="spellEnd"/>
      <w:r>
        <w:rPr>
          <w:rFonts w:ascii="Century Gothic" w:hAnsi="Century Gothic"/>
          <w:sz w:val="28"/>
          <w:szCs w:val="28"/>
        </w:rPr>
        <w:t xml:space="preserve"> gestattet.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Gerade das Bundeskindergeldrecht macht anschaulich, was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soziale Sicherung bedeutet. Der Begriff „Gießkannenprinzip“</w:t>
      </w:r>
    </w:p>
    <w:p w:rsidR="00C159FC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</w:t>
      </w:r>
      <w:r w:rsidR="00C159FC">
        <w:rPr>
          <w:rFonts w:ascii="Century Gothic" w:hAnsi="Century Gothic"/>
          <w:sz w:val="28"/>
          <w:szCs w:val="28"/>
        </w:rPr>
        <w:t xml:space="preserve"> Reimer(1927) verkennt, </w:t>
      </w:r>
      <w:proofErr w:type="spellStart"/>
      <w:r w:rsidR="00C159FC">
        <w:rPr>
          <w:rFonts w:ascii="Century Gothic" w:hAnsi="Century Gothic"/>
          <w:sz w:val="28"/>
          <w:szCs w:val="28"/>
        </w:rPr>
        <w:t>daß</w:t>
      </w:r>
      <w:proofErr w:type="spellEnd"/>
      <w:r w:rsidR="00C159FC">
        <w:rPr>
          <w:rFonts w:ascii="Century Gothic" w:hAnsi="Century Gothic"/>
          <w:sz w:val="28"/>
          <w:szCs w:val="28"/>
        </w:rPr>
        <w:t xml:space="preserve"> bevölkerungspolitische, vor-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zugsweise geburtenpolitische Motive des Staates unverkennbar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sind und alle betroffenen Eltern Kosten durch Kinder haben.</w:t>
      </w:r>
    </w:p>
    <w:p w:rsidR="00C159FC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Grundsätzlich wird die Einkommensseite durch die Geburt eines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Kindes nicht verbessert, sondern wegen des Betreuungsaufwandes</w:t>
      </w:r>
    </w:p>
    <w:p w:rsidR="000E21B5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="000E21B5">
        <w:rPr>
          <w:rFonts w:ascii="Century Gothic" w:hAnsi="Century Gothic"/>
          <w:sz w:val="28"/>
          <w:szCs w:val="28"/>
        </w:rPr>
        <w:t>her verschlechtert. Um das Interesse an Geburten zu erhöhen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und die Eltern zu unterstützen, ist das Kindergeld ein jedenfalls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nicht ungeeignetes Mittel, wie auch ausländische Beispiele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zeigen. Weil Kinder in allen Bundesländern geboren werden und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aus der Sicht der Eltern auch ein Kostenfaktor sind, ist eine</w:t>
      </w:r>
    </w:p>
    <w:p w:rsidR="000E21B5" w:rsidRDefault="0077625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bundeseinheitliche Regelung gerade</w:t>
      </w:r>
      <w:r w:rsidR="000E21B5">
        <w:rPr>
          <w:rFonts w:ascii="Century Gothic" w:hAnsi="Century Gothic"/>
          <w:sz w:val="28"/>
          <w:szCs w:val="28"/>
        </w:rPr>
        <w:t xml:space="preserve"> sachgerecht. Im Arsenal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der Eltern- und Kinderförderung ist dieses – neben anderen –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ein ei</w:t>
      </w:r>
      <w:r w:rsidR="000C2E46">
        <w:rPr>
          <w:rFonts w:ascii="Century Gothic" w:hAnsi="Century Gothic"/>
          <w:sz w:val="28"/>
          <w:szCs w:val="28"/>
        </w:rPr>
        <w:t>n</w:t>
      </w:r>
      <w:r>
        <w:rPr>
          <w:rFonts w:ascii="Century Gothic" w:hAnsi="Century Gothic"/>
          <w:sz w:val="28"/>
          <w:szCs w:val="28"/>
        </w:rPr>
        <w:t>gesessenes und von den Betroffenen mit hoher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Nutzung angenommenes Mittel.</w:t>
      </w:r>
    </w:p>
    <w:p w:rsidR="000E21B5" w:rsidRDefault="00597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 handelt sich eben</w:t>
      </w:r>
      <w:r w:rsidR="000C2E46">
        <w:rPr>
          <w:rFonts w:ascii="Century Gothic" w:hAnsi="Century Gothic"/>
          <w:sz w:val="28"/>
          <w:szCs w:val="28"/>
        </w:rPr>
        <w:t>falls</w:t>
      </w:r>
      <w:r w:rsidR="000E21B5">
        <w:rPr>
          <w:rFonts w:ascii="Century Gothic" w:hAnsi="Century Gothic"/>
          <w:sz w:val="28"/>
          <w:szCs w:val="28"/>
        </w:rPr>
        <w:t xml:space="preserve"> nicht um eine „typisierte Notlage“, wie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dem Aufsatz durchaus erwähnt wird. Es gibt im Sozialstaat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aber auch Fürsorge ohne Not. Ein typisches Beispiel ist das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Kindergeld, weil es an die Eltern gezahlt wird und keiner Zweck-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bindung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776253">
        <w:rPr>
          <w:rFonts w:ascii="Century Gothic" w:hAnsi="Century Gothic"/>
          <w:sz w:val="28"/>
          <w:szCs w:val="28"/>
        </w:rPr>
        <w:t>unterliegt. Sein Erhalt ist eben</w:t>
      </w:r>
      <w:r>
        <w:rPr>
          <w:rFonts w:ascii="Century Gothic" w:hAnsi="Century Gothic"/>
          <w:sz w:val="28"/>
          <w:szCs w:val="28"/>
        </w:rPr>
        <w:t xml:space="preserve"> nicht an Bedürftigkeit</w:t>
      </w:r>
    </w:p>
    <w:p w:rsidR="000E21B5" w:rsidRDefault="000E21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geknüpft, sondern wird auf Antrag gezahlt.</w:t>
      </w:r>
      <w:r w:rsidR="000C2E46">
        <w:rPr>
          <w:rFonts w:ascii="Century Gothic" w:hAnsi="Century Gothic"/>
          <w:sz w:val="28"/>
          <w:szCs w:val="28"/>
        </w:rPr>
        <w:t xml:space="preserve"> Es soll eine starke</w:t>
      </w:r>
    </w:p>
    <w:p w:rsidR="000C2E46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Anreizfunktion haben und zwischenmenschlichen Druck aus-</w:t>
      </w:r>
    </w:p>
    <w:p w:rsidR="000C2E46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üben, damit die Kinder das ihnen zustehende erhalten. Die</w:t>
      </w:r>
    </w:p>
    <w:p w:rsidR="000C2E46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Beträge gehen von Mindestsicherung aus und sollen von</w:t>
      </w:r>
      <w:r w:rsidR="00776253">
        <w:rPr>
          <w:rFonts w:ascii="Century Gothic" w:hAnsi="Century Gothic"/>
          <w:sz w:val="28"/>
          <w:szCs w:val="28"/>
        </w:rPr>
        <w:t xml:space="preserve"> vorn-</w:t>
      </w:r>
    </w:p>
    <w:p w:rsidR="000C2E46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herein das Eintreten einer Notlage </w:t>
      </w:r>
      <w:proofErr w:type="gramStart"/>
      <w:r>
        <w:rPr>
          <w:rFonts w:ascii="Century Gothic" w:hAnsi="Century Gothic"/>
          <w:sz w:val="28"/>
          <w:szCs w:val="28"/>
        </w:rPr>
        <w:t>abwenden</w:t>
      </w:r>
      <w:proofErr w:type="gramEnd"/>
      <w:r>
        <w:rPr>
          <w:rFonts w:ascii="Century Gothic" w:hAnsi="Century Gothic"/>
          <w:sz w:val="28"/>
          <w:szCs w:val="28"/>
        </w:rPr>
        <w:t xml:space="preserve"> und zwar</w:t>
      </w:r>
      <w:r w:rsidR="00776253">
        <w:rPr>
          <w:rFonts w:ascii="Century Gothic" w:hAnsi="Century Gothic"/>
          <w:sz w:val="28"/>
          <w:szCs w:val="28"/>
        </w:rPr>
        <w:t xml:space="preserve"> eine</w:t>
      </w:r>
    </w:p>
    <w:p w:rsidR="00776253" w:rsidRDefault="0077625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Schlechterstellung</w:t>
      </w:r>
      <w:r w:rsidR="000C2E46">
        <w:rPr>
          <w:rFonts w:ascii="Century Gothic" w:hAnsi="Century Gothic"/>
          <w:sz w:val="28"/>
          <w:szCs w:val="28"/>
        </w:rPr>
        <w:t xml:space="preserve"> der Familie bzw. der</w:t>
      </w:r>
      <w:r>
        <w:rPr>
          <w:rFonts w:ascii="Century Gothic" w:hAnsi="Century Gothic"/>
          <w:sz w:val="28"/>
          <w:szCs w:val="28"/>
        </w:rPr>
        <w:t xml:space="preserve"> Eltern, die sich  </w:t>
      </w:r>
    </w:p>
    <w:p w:rsidR="000C2E46" w:rsidRDefault="0077625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auf  </w:t>
      </w:r>
      <w:r w:rsidR="000C2E46">
        <w:rPr>
          <w:rFonts w:ascii="Century Gothic" w:hAnsi="Century Gothic"/>
          <w:sz w:val="28"/>
          <w:szCs w:val="28"/>
        </w:rPr>
        <w:t>das Kind nachteilig auswirkt. Grundsätzlich sind diese alle</w:t>
      </w:r>
    </w:p>
    <w:p w:rsidR="000C2E46" w:rsidRDefault="000C2E4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davon betroffen.</w:t>
      </w:r>
      <w:r w:rsidR="00F21D19">
        <w:rPr>
          <w:rFonts w:ascii="Century Gothic" w:hAnsi="Century Gothic"/>
          <w:sz w:val="28"/>
          <w:szCs w:val="28"/>
        </w:rPr>
        <w:t xml:space="preserve"> Daher ist der Versorgungsgesichtspunkt</w:t>
      </w:r>
    </w:p>
    <w:p w:rsidR="00597E8A" w:rsidRDefault="00F21D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ohne weiteres naheliegend.</w:t>
      </w:r>
      <w:r w:rsidR="00597E8A">
        <w:rPr>
          <w:rFonts w:ascii="Century Gothic" w:hAnsi="Century Gothic"/>
          <w:sz w:val="28"/>
          <w:szCs w:val="28"/>
        </w:rPr>
        <w:t xml:space="preserve"> Die Begrifflichkeit des Sozial-</w:t>
      </w:r>
    </w:p>
    <w:p w:rsidR="00597E8A" w:rsidRDefault="00597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und Verfassungsrechts ist nicht trennscharf harmonisiert. Es</w:t>
      </w:r>
    </w:p>
    <w:p w:rsidR="00597E8A" w:rsidRDefault="00597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handelt sich um soziale Sicherheit zum Zwecke des Nach-</w:t>
      </w:r>
    </w:p>
    <w:p w:rsidR="00597E8A" w:rsidRDefault="00597E8A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teilsausgleich</w:t>
      </w:r>
      <w:proofErr w:type="spellEnd"/>
      <w:r>
        <w:rPr>
          <w:rFonts w:ascii="Century Gothic" w:hAnsi="Century Gothic"/>
          <w:sz w:val="28"/>
          <w:szCs w:val="28"/>
        </w:rPr>
        <w:t>, die zur Daseinsvorsorge gehört. Reimer</w:t>
      </w:r>
    </w:p>
    <w:p w:rsidR="00597E8A" w:rsidRDefault="00597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verkürzt auf ein bloß hoheitliches Verständnis von Fürsorge,</w:t>
      </w:r>
    </w:p>
    <w:p w:rsidR="00597E8A" w:rsidRDefault="00597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das wenig zeitgemäß und eher überinterpretiert klingt.</w:t>
      </w:r>
    </w:p>
    <w:p w:rsidR="00F21D19" w:rsidRDefault="00C057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 w:rsidR="00597E8A">
        <w:rPr>
          <w:rFonts w:ascii="Century Gothic" w:hAnsi="Century Gothic"/>
          <w:sz w:val="28"/>
          <w:szCs w:val="28"/>
        </w:rPr>
        <w:t xml:space="preserve"> </w:t>
      </w:r>
      <w:r w:rsidR="00F21D19">
        <w:rPr>
          <w:rFonts w:ascii="Century Gothic" w:hAnsi="Century Gothic"/>
          <w:sz w:val="28"/>
          <w:szCs w:val="28"/>
        </w:rPr>
        <w:t>Zwischen Bund und Ländern war bislang die Zuständigkeits-</w:t>
      </w:r>
    </w:p>
    <w:p w:rsidR="00F21D19" w:rsidRDefault="00F21D19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kompetenz</w:t>
      </w:r>
      <w:proofErr w:type="spellEnd"/>
      <w:r>
        <w:rPr>
          <w:rFonts w:ascii="Century Gothic" w:hAnsi="Century Gothic"/>
          <w:sz w:val="28"/>
          <w:szCs w:val="28"/>
        </w:rPr>
        <w:t xml:space="preserve"> nicht streitig, da die Länder den Transfer aus</w:t>
      </w:r>
    </w:p>
    <w:p w:rsidR="00F21D19" w:rsidRDefault="00F21D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eigenem Interesse begrüßt haben und auch Landeskinder-</w:t>
      </w:r>
    </w:p>
    <w:p w:rsidR="00F21D19" w:rsidRDefault="00F21D19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geldregelungen</w:t>
      </w:r>
      <w:proofErr w:type="spellEnd"/>
      <w:r>
        <w:rPr>
          <w:rFonts w:ascii="Century Gothic" w:hAnsi="Century Gothic"/>
          <w:sz w:val="28"/>
          <w:szCs w:val="28"/>
        </w:rPr>
        <w:t xml:space="preserve"> im Recht bekannt sind. Aus praktischer</w:t>
      </w:r>
    </w:p>
    <w:p w:rsidR="00F21D19" w:rsidRDefault="00F21D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Sicht ist daher wohl der Satz einschlägig, </w:t>
      </w:r>
      <w:proofErr w:type="spellStart"/>
      <w:r>
        <w:rPr>
          <w:rFonts w:ascii="Century Gothic" w:hAnsi="Century Gothic"/>
          <w:sz w:val="28"/>
          <w:szCs w:val="28"/>
        </w:rPr>
        <w:t>daß</w:t>
      </w:r>
      <w:proofErr w:type="spellEnd"/>
      <w:r>
        <w:rPr>
          <w:rFonts w:ascii="Century Gothic" w:hAnsi="Century Gothic"/>
          <w:sz w:val="28"/>
          <w:szCs w:val="28"/>
        </w:rPr>
        <w:t>, wo kein Kläger,</w:t>
      </w:r>
    </w:p>
    <w:p w:rsidR="00F21D19" w:rsidRDefault="00F21D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 kein Richter. Der st</w:t>
      </w:r>
      <w:r w:rsidR="00B0115F">
        <w:rPr>
          <w:rFonts w:ascii="Century Gothic" w:hAnsi="Century Gothic"/>
          <w:sz w:val="28"/>
          <w:szCs w:val="28"/>
        </w:rPr>
        <w:t xml:space="preserve">aatspolitische Aspekt, der </w:t>
      </w:r>
      <w:r>
        <w:rPr>
          <w:rFonts w:ascii="Century Gothic" w:hAnsi="Century Gothic"/>
          <w:sz w:val="28"/>
          <w:szCs w:val="28"/>
        </w:rPr>
        <w:t>in die</w:t>
      </w:r>
    </w:p>
    <w:p w:rsidR="00F21D19" w:rsidRDefault="00F21D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Zuständigkeit des BMI fällt, tut ein </w:t>
      </w:r>
      <w:proofErr w:type="gramStart"/>
      <w:r>
        <w:rPr>
          <w:rFonts w:ascii="Century Gothic" w:hAnsi="Century Gothic"/>
          <w:sz w:val="28"/>
          <w:szCs w:val="28"/>
        </w:rPr>
        <w:t>übriges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p w:rsidR="00F21D19" w:rsidRDefault="00F21D19">
      <w:pPr>
        <w:rPr>
          <w:rFonts w:ascii="Century Gothic" w:hAnsi="Century Gothic"/>
          <w:sz w:val="28"/>
          <w:szCs w:val="28"/>
        </w:rPr>
      </w:pPr>
    </w:p>
    <w:p w:rsidR="00F21D19" w:rsidRDefault="00F21D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C159FC" w:rsidRDefault="00C159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C159FC" w:rsidRPr="003D6E9F" w:rsidRDefault="00C159FC">
      <w:pPr>
        <w:rPr>
          <w:rFonts w:ascii="Century Gothic" w:hAnsi="Century Gothic"/>
          <w:sz w:val="28"/>
          <w:szCs w:val="28"/>
        </w:rPr>
      </w:pPr>
    </w:p>
    <w:sectPr w:rsidR="00C159FC" w:rsidRPr="003D6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9F"/>
    <w:rsid w:val="00023042"/>
    <w:rsid w:val="000C2E46"/>
    <w:rsid w:val="000E21B5"/>
    <w:rsid w:val="00110758"/>
    <w:rsid w:val="00151177"/>
    <w:rsid w:val="001C7FBB"/>
    <w:rsid w:val="00204729"/>
    <w:rsid w:val="002B2A9D"/>
    <w:rsid w:val="003D6E9F"/>
    <w:rsid w:val="004354EA"/>
    <w:rsid w:val="004658DC"/>
    <w:rsid w:val="0057527C"/>
    <w:rsid w:val="00597E8A"/>
    <w:rsid w:val="005B1DFA"/>
    <w:rsid w:val="00776253"/>
    <w:rsid w:val="00980D62"/>
    <w:rsid w:val="009B42A1"/>
    <w:rsid w:val="00B0115F"/>
    <w:rsid w:val="00B75BF1"/>
    <w:rsid w:val="00C05703"/>
    <w:rsid w:val="00C159FC"/>
    <w:rsid w:val="00ED116E"/>
    <w:rsid w:val="00F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Hyperion2</dc:creator>
  <cp:lastModifiedBy>Hyperion2</cp:lastModifiedBy>
  <cp:revision>2</cp:revision>
  <dcterms:created xsi:type="dcterms:W3CDTF">2012-07-14T07:38:00Z</dcterms:created>
  <dcterms:modified xsi:type="dcterms:W3CDTF">2012-07-14T07:38:00Z</dcterms:modified>
</cp:coreProperties>
</file>